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69BDE" w14:textId="58E0F517" w:rsidR="000947F2" w:rsidRPr="00E57D49" w:rsidRDefault="00B45857" w:rsidP="00E57D49">
      <w:pPr>
        <w:pStyle w:val="Header"/>
        <w:tabs>
          <w:tab w:val="left" w:pos="1296"/>
          <w:tab w:val="left" w:pos="9540"/>
        </w:tabs>
        <w:spacing w:before="120"/>
        <w:ind w:right="96"/>
        <w:jc w:val="both"/>
        <w:rPr>
          <w:iCs/>
          <w:noProof/>
          <w:lang w:val="en-GB"/>
        </w:rPr>
      </w:pPr>
      <w:r w:rsidRPr="00E57D49">
        <w:rPr>
          <w:b/>
          <w:iCs/>
          <w:noProof/>
          <w:lang w:val="en-GB"/>
        </w:rPr>
        <w:t>Prof. d</w:t>
      </w:r>
      <w:r w:rsidR="000947F2" w:rsidRPr="00E57D49">
        <w:rPr>
          <w:b/>
          <w:iCs/>
          <w:noProof/>
          <w:lang w:val="en-GB"/>
        </w:rPr>
        <w:t>r. Audronė Žukauskaitė</w:t>
      </w:r>
      <w:r w:rsidR="000947F2" w:rsidRPr="00E57D49">
        <w:rPr>
          <w:b/>
          <w:i/>
          <w:iCs/>
          <w:noProof/>
          <w:lang w:val="en-GB"/>
        </w:rPr>
        <w:t xml:space="preserve"> </w:t>
      </w:r>
    </w:p>
    <w:p w14:paraId="28AF9E53" w14:textId="4533EDA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</w:p>
    <w:p w14:paraId="74599E75" w14:textId="7777777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/>
        <w:jc w:val="both"/>
        <w:rPr>
          <w:rFonts w:ascii="Times New Roman" w:hAnsi="Times New Roman"/>
          <w:noProof/>
          <w:sz w:val="24"/>
          <w:szCs w:val="24"/>
          <w:lang w:val="en-GB"/>
        </w:rPr>
      </w:pPr>
    </w:p>
    <w:p w14:paraId="2D20D336" w14:textId="350F11F6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b/>
          <w:noProof/>
          <w:sz w:val="24"/>
          <w:szCs w:val="24"/>
          <w:lang w:val="en-GB"/>
        </w:rPr>
        <w:t>Tyrimų kryptys: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šiuolaikinė filosofija,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Deleuze’o ir Guattari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filosofija,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biopolitika, 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biofilosofija,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posthumani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>zmas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.</w:t>
      </w:r>
    </w:p>
    <w:p w14:paraId="5F5376E3" w14:textId="7777777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/>
        <w:jc w:val="both"/>
        <w:rPr>
          <w:rFonts w:ascii="Times New Roman" w:hAnsi="Times New Roman"/>
          <w:noProof/>
          <w:sz w:val="24"/>
          <w:szCs w:val="24"/>
          <w:lang w:val="en-GB"/>
        </w:rPr>
      </w:pPr>
    </w:p>
    <w:p w14:paraId="731752B8" w14:textId="7777777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60CD430B" w14:textId="7777777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b/>
          <w:noProof/>
          <w:sz w:val="24"/>
          <w:szCs w:val="24"/>
          <w:lang w:val="en-GB"/>
        </w:rPr>
        <w:t xml:space="preserve">RINKTINĖS PUBLIKACIJOS: </w:t>
      </w:r>
    </w:p>
    <w:p w14:paraId="265DCC11" w14:textId="77777777" w:rsidR="00E57D49" w:rsidRDefault="00E57D49" w:rsidP="00E57D49">
      <w:pPr>
        <w:tabs>
          <w:tab w:val="left" w:pos="9540"/>
        </w:tabs>
        <w:spacing w:before="120" w:after="0" w:line="240" w:lineRule="auto"/>
        <w:ind w:right="96" w:firstLine="360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</w:p>
    <w:p w14:paraId="3D91F3E8" w14:textId="7777777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 w:firstLine="360"/>
        <w:jc w:val="both"/>
        <w:rPr>
          <w:rFonts w:ascii="Times New Roman" w:hAnsi="Times New Roman"/>
          <w:b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b/>
          <w:noProof/>
          <w:sz w:val="24"/>
          <w:szCs w:val="24"/>
          <w:lang w:val="en-GB"/>
        </w:rPr>
        <w:t>Monografijos:</w:t>
      </w:r>
    </w:p>
    <w:p w14:paraId="2346EF3D" w14:textId="4E533FAF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jc w:val="both"/>
        <w:rPr>
          <w:rFonts w:ascii="Times New Roman" w:eastAsia="BatangChe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Žukauskaitė, Audronė, </w:t>
      </w:r>
      <w:r w:rsidRPr="00E57D49">
        <w:rPr>
          <w:rFonts w:ascii="Times New Roman" w:eastAsia="BatangChe" w:hAnsi="Times New Roman"/>
          <w:i/>
          <w:noProof/>
          <w:sz w:val="24"/>
          <w:szCs w:val="24"/>
          <w:lang w:val="en-GB"/>
        </w:rPr>
        <w:t>Nuo biopolitikos iki biofilosofijos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>, Viln</w:t>
      </w:r>
      <w:r w:rsidR="00B45857"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>ius: Kitos knygos, 2016.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 </w:t>
      </w:r>
    </w:p>
    <w:p w14:paraId="7354B679" w14:textId="390628F1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Žukauskaitė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Gilles’io Deleuze’o ir Felixo Guattari filosofija: daugialypumo logika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. Vilni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>us: Baltos lankos, 2011.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</w:p>
    <w:p w14:paraId="776A5FD8" w14:textId="77777777" w:rsidR="00E57D49" w:rsidRDefault="00E57D49" w:rsidP="00E57D49">
      <w:pPr>
        <w:tabs>
          <w:tab w:val="left" w:pos="9540"/>
        </w:tabs>
        <w:spacing w:before="120" w:after="0" w:line="240" w:lineRule="auto"/>
        <w:ind w:right="96" w:firstLine="360"/>
        <w:jc w:val="both"/>
        <w:rPr>
          <w:rFonts w:ascii="Times New Roman" w:hAnsi="Times New Roman"/>
          <w:b/>
          <w:bCs/>
          <w:noProof/>
          <w:sz w:val="24"/>
          <w:szCs w:val="24"/>
          <w:lang w:val="en-GB"/>
        </w:rPr>
      </w:pPr>
    </w:p>
    <w:p w14:paraId="13E92C75" w14:textId="7777777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 w:firstLine="360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b/>
          <w:bCs/>
          <w:noProof/>
          <w:sz w:val="24"/>
          <w:szCs w:val="24"/>
          <w:lang w:val="en-GB"/>
        </w:rPr>
        <w:t>Sudarytos knygos:</w:t>
      </w:r>
    </w:p>
    <w:p w14:paraId="735B3894" w14:textId="4D960474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S. E. Wilmer, Audronė Žukauskaitė (eds),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Resisting Biopolitics: Philosophical, Political and Performative Strategies</w:t>
      </w:r>
      <w:r w:rsidR="00844E0F" w:rsidRPr="00E57D49">
        <w:rPr>
          <w:rFonts w:ascii="Times New Roman" w:hAnsi="Times New Roman"/>
          <w:noProof/>
          <w:sz w:val="24"/>
          <w:szCs w:val="24"/>
          <w:lang w:val="en-GB"/>
        </w:rPr>
        <w:t>, New York: Routledge, 2016 (2018)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. </w:t>
      </w:r>
    </w:p>
    <w:p w14:paraId="0D9668D3" w14:textId="0F35A32C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S. E. Wilmer, Audronė Žukauskaitė (eds),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Deleuze and Beckett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, Basingstoke: 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>Palgrave Macmillan, 2015.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</w:p>
    <w:p w14:paraId="5E401F39" w14:textId="74244CA4" w:rsidR="000947F2" w:rsidRPr="00E57D49" w:rsidRDefault="000947F2" w:rsidP="00E57D49">
      <w:pPr>
        <w:pStyle w:val="BodyText2"/>
        <w:tabs>
          <w:tab w:val="left" w:pos="9540"/>
        </w:tabs>
        <w:spacing w:before="120" w:after="0"/>
        <w:ind w:left="360" w:right="96" w:hanging="360"/>
        <w:jc w:val="left"/>
        <w:rPr>
          <w:noProof/>
          <w:lang w:val="en-GB"/>
        </w:rPr>
      </w:pPr>
      <w:r w:rsidRPr="00E57D49">
        <w:rPr>
          <w:noProof/>
          <w:lang w:val="en-GB"/>
        </w:rPr>
        <w:t xml:space="preserve">S. E. Wilmer, Audronė Žukauskaitė (eds). </w:t>
      </w:r>
      <w:r w:rsidRPr="00E57D49">
        <w:rPr>
          <w:i/>
          <w:iCs/>
          <w:noProof/>
          <w:lang w:val="en-GB"/>
        </w:rPr>
        <w:t>Interrogating Antigone in Postmodern Philosophy</w:t>
      </w:r>
      <w:r w:rsidRPr="00E57D49">
        <w:rPr>
          <w:noProof/>
          <w:lang w:val="en-GB"/>
        </w:rPr>
        <w:t xml:space="preserve"> </w:t>
      </w:r>
      <w:r w:rsidRPr="00E57D49">
        <w:rPr>
          <w:i/>
          <w:iCs/>
          <w:noProof/>
          <w:lang w:val="en-GB"/>
        </w:rPr>
        <w:t>and Criticism</w:t>
      </w:r>
      <w:r w:rsidRPr="00E57D49">
        <w:rPr>
          <w:noProof/>
          <w:lang w:val="en-GB"/>
        </w:rPr>
        <w:t>. Oxford: Oxf</w:t>
      </w:r>
      <w:r w:rsidR="00B45857" w:rsidRPr="00E57D49">
        <w:rPr>
          <w:noProof/>
          <w:lang w:val="en-GB"/>
        </w:rPr>
        <w:t>ord University Press, 2010.</w:t>
      </w:r>
    </w:p>
    <w:p w14:paraId="2D0C778E" w14:textId="77777777" w:rsidR="00B45857" w:rsidRPr="00E57D49" w:rsidRDefault="00B45857" w:rsidP="00E57D49">
      <w:pPr>
        <w:tabs>
          <w:tab w:val="left" w:pos="9540"/>
        </w:tabs>
        <w:spacing w:before="120" w:after="0" w:line="240" w:lineRule="auto"/>
        <w:ind w:right="96" w:firstLine="360"/>
        <w:rPr>
          <w:rFonts w:ascii="Times New Roman" w:hAnsi="Times New Roman"/>
          <w:b/>
          <w:iCs/>
          <w:noProof/>
          <w:sz w:val="24"/>
          <w:szCs w:val="24"/>
          <w:lang w:val="en-GB"/>
        </w:rPr>
      </w:pPr>
    </w:p>
    <w:p w14:paraId="5CFAACDD" w14:textId="77777777" w:rsidR="000947F2" w:rsidRPr="00E57D49" w:rsidRDefault="000947F2" w:rsidP="00E57D49">
      <w:pPr>
        <w:tabs>
          <w:tab w:val="left" w:pos="9540"/>
        </w:tabs>
        <w:spacing w:before="120" w:after="0" w:line="240" w:lineRule="auto"/>
        <w:ind w:right="96" w:firstLine="360"/>
        <w:rPr>
          <w:rFonts w:ascii="Times New Roman" w:hAnsi="Times New Roman"/>
          <w:b/>
          <w:iCs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b/>
          <w:iCs/>
          <w:noProof/>
          <w:sz w:val="24"/>
          <w:szCs w:val="24"/>
          <w:lang w:val="en-GB"/>
        </w:rPr>
        <w:t>Straipsniai, knygų skyriai:</w:t>
      </w:r>
    </w:p>
    <w:p w14:paraId="78606DB6" w14:textId="77777777" w:rsidR="00E57D49" w:rsidRDefault="00E57D49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eastAsia="BatangChe" w:hAnsi="Times New Roman"/>
          <w:noProof/>
          <w:sz w:val="24"/>
          <w:szCs w:val="24"/>
          <w:lang w:val="en-GB"/>
        </w:rPr>
      </w:pPr>
    </w:p>
    <w:p w14:paraId="1F20915F" w14:textId="6DE42918" w:rsidR="00844E0F" w:rsidRPr="00E57D49" w:rsidRDefault="000947F2" w:rsidP="00E57D49">
      <w:pPr>
        <w:tabs>
          <w:tab w:val="left" w:pos="9540"/>
        </w:tabs>
        <w:spacing w:before="120" w:after="0"/>
        <w:ind w:left="360" w:right="96" w:hanging="360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Žukauskaitė, Audronė,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Multiplicity as a Life: Deleuze, Simondon, 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>Ruyer</w:t>
      </w:r>
      <w:r w:rsidR="000A5866">
        <w:rPr>
          <w:rFonts w:ascii="Times New Roman" w:hAnsi="Times New Roman"/>
          <w:noProof/>
          <w:sz w:val="24"/>
          <w:szCs w:val="24"/>
          <w:lang w:val="en-GB"/>
        </w:rPr>
        <w:t xml:space="preserve">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Deleuze</w:t>
      </w:r>
      <w:r w:rsidR="00E57D49">
        <w:rPr>
          <w:rFonts w:ascii="Times New Roman" w:hAnsi="Times New Roman"/>
          <w:i/>
          <w:noProof/>
          <w:sz w:val="24"/>
          <w:szCs w:val="24"/>
          <w:lang w:val="en-GB"/>
        </w:rPr>
        <w:t xml:space="preserve">, </w:t>
      </w:r>
      <w:r w:rsidR="00B45857" w:rsidRPr="00E57D49">
        <w:rPr>
          <w:rFonts w:ascii="Times New Roman" w:hAnsi="Times New Roman"/>
          <w:i/>
          <w:noProof/>
          <w:sz w:val="24"/>
          <w:szCs w:val="24"/>
          <w:lang w:val="en-GB"/>
        </w:rPr>
        <w:t>Guattari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 xml:space="preserve"> and the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Art of Multiplicit</w:t>
      </w:r>
      <w:r w:rsidR="00B45857" w:rsidRPr="00E57D49">
        <w:rPr>
          <w:rFonts w:ascii="Times New Roman" w:hAnsi="Times New Roman"/>
          <w:i/>
          <w:noProof/>
          <w:sz w:val="24"/>
          <w:szCs w:val="24"/>
          <w:lang w:val="en-GB"/>
        </w:rPr>
        <w:t>y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, eds. R. Pr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>zed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pelski and S. E. Wilmer, Edinburgh: Ed</w:t>
      </w:r>
      <w:r w:rsidR="00B45857" w:rsidRPr="00E57D49">
        <w:rPr>
          <w:rFonts w:ascii="Times New Roman" w:hAnsi="Times New Roman"/>
          <w:noProof/>
          <w:sz w:val="24"/>
          <w:szCs w:val="24"/>
          <w:lang w:val="en-GB"/>
        </w:rPr>
        <w:t>inburgh University Press, 2020, p. 35-49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.</w:t>
      </w:r>
    </w:p>
    <w:p w14:paraId="7F689D1A" w14:textId="77777777" w:rsidR="00E57D49" w:rsidRDefault="00B45857" w:rsidP="00E57D49">
      <w:pPr>
        <w:pStyle w:val="NormalWeb"/>
        <w:spacing w:before="0" w:beforeAutospacing="0" w:line="330" w:lineRule="atLeast"/>
        <w:rPr>
          <w:rFonts w:ascii="Helvetica Neue" w:hAnsi="Helvetica Neue"/>
          <w:color w:val="333333"/>
          <w:sz w:val="21"/>
          <w:szCs w:val="21"/>
        </w:rPr>
      </w:pPr>
      <w:r w:rsidRPr="00E57D49">
        <w:rPr>
          <w:noProof/>
        </w:rPr>
        <w:t>Žukauskaitė, Audronė, Gaia Theory: Between Autopoiesis and Sympoies</w:t>
      </w:r>
      <w:bookmarkStart w:id="0" w:name="_GoBack"/>
      <w:bookmarkEnd w:id="0"/>
      <w:r w:rsidRPr="00E57D49">
        <w:rPr>
          <w:noProof/>
        </w:rPr>
        <w:t xml:space="preserve">is, </w:t>
      </w:r>
      <w:r w:rsidRPr="00E57D49">
        <w:rPr>
          <w:i/>
          <w:noProof/>
        </w:rPr>
        <w:t>Problemos</w:t>
      </w:r>
      <w:r w:rsidRPr="00E57D49">
        <w:rPr>
          <w:noProof/>
        </w:rPr>
        <w:t xml:space="preserve">, no. </w:t>
      </w:r>
      <w:r w:rsidR="00E57D49">
        <w:rPr>
          <w:noProof/>
        </w:rPr>
        <w:t xml:space="preserve">   </w:t>
      </w:r>
      <w:r w:rsidRPr="00E57D49">
        <w:rPr>
          <w:noProof/>
        </w:rPr>
        <w:t xml:space="preserve">98, 2020, p. 141-153. </w:t>
      </w:r>
      <w:r w:rsidR="00E57D49">
        <w:rPr>
          <w:noProof/>
        </w:rPr>
        <w:t xml:space="preserve"> </w:t>
      </w:r>
      <w:r w:rsidR="00E57D49" w:rsidRPr="00E57D49">
        <w:rPr>
          <w:color w:val="333333"/>
        </w:rPr>
        <w:t>DOI:</w:t>
      </w:r>
      <w:r w:rsidR="00E57D49" w:rsidRPr="00E57D49">
        <w:rPr>
          <w:rStyle w:val="apple-converted-space"/>
          <w:color w:val="333333"/>
        </w:rPr>
        <w:t> </w:t>
      </w:r>
      <w:hyperlink r:id="rId4" w:history="1">
        <w:r w:rsidR="00E57D49" w:rsidRPr="00E57D49">
          <w:rPr>
            <w:rStyle w:val="Hyperlink"/>
            <w:color w:val="428BCA"/>
          </w:rPr>
          <w:t>https://doi.org/10.15388/Problemos.98.13</w:t>
        </w:r>
      </w:hyperlink>
    </w:p>
    <w:p w14:paraId="374FD409" w14:textId="78803A96" w:rsidR="000947F2" w:rsidRPr="00E57D49" w:rsidRDefault="000947F2" w:rsidP="00E57D49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="00844E0F" w:rsidRPr="00E57D49">
        <w:rPr>
          <w:rFonts w:ascii="Times New Roman" w:hAnsi="Times New Roman"/>
          <w:noProof/>
          <w:sz w:val="24"/>
          <w:szCs w:val="24"/>
          <w:lang w:val="en-GB"/>
        </w:rPr>
        <w:t>Producing ‘Bare L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ife’ in the Anthropo-scene, </w:t>
      </w:r>
      <w:r w:rsidRPr="00E57D49">
        <w:rPr>
          <w:rFonts w:ascii="Times New Roman" w:hAnsi="Times New Roman"/>
          <w:bCs/>
          <w:i/>
          <w:iCs/>
          <w:noProof/>
          <w:sz w:val="24"/>
          <w:szCs w:val="24"/>
          <w:lang w:val="en-GB"/>
        </w:rPr>
        <w:t>Nordic Theatre Studies</w:t>
      </w:r>
      <w:r w:rsidRPr="00E57D49">
        <w:rPr>
          <w:rFonts w:ascii="Times New Roman" w:hAnsi="Times New Roman"/>
          <w:bCs/>
          <w:iCs/>
          <w:noProof/>
          <w:sz w:val="24"/>
          <w:szCs w:val="24"/>
          <w:lang w:val="en-GB"/>
        </w:rPr>
        <w:t>,</w:t>
      </w:r>
      <w:r w:rsidR="00844E0F" w:rsidRPr="00E57D49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en-GB"/>
        </w:rPr>
        <w:t xml:space="preserve"> vol. 31, no. 1, 2020</w:t>
      </w:r>
      <w:r w:rsidR="00B45857" w:rsidRPr="00E57D49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en-GB"/>
        </w:rPr>
        <w:t>, p. 22-37.</w:t>
      </w:r>
      <w:r w:rsidR="00B45857" w:rsidRPr="00E57D49">
        <w:rPr>
          <w:rFonts w:ascii="Times New Roman" w:eastAsia="Times New Roman" w:hAnsi="Times New Roman"/>
          <w:noProof/>
          <w:color w:val="000000"/>
          <w:sz w:val="24"/>
          <w:szCs w:val="24"/>
          <w:lang w:val="en-GB"/>
        </w:rPr>
        <w:t xml:space="preserve"> </w:t>
      </w:r>
      <w:hyperlink r:id="rId5" w:history="1">
        <w:r w:rsidR="00844E0F" w:rsidRPr="00E57D49">
          <w:rPr>
            <w:rStyle w:val="Hyperlink"/>
            <w:rFonts w:ascii="Times New Roman" w:eastAsia="Times New Roman" w:hAnsi="Times New Roman"/>
            <w:noProof/>
            <w:color w:val="858484"/>
            <w:sz w:val="24"/>
            <w:szCs w:val="24"/>
            <w:lang w:val="en-GB"/>
          </w:rPr>
          <w:t>https://doi.org/10.7146/nts.v32i1.120406</w:t>
        </w:r>
      </w:hyperlink>
    </w:p>
    <w:p w14:paraId="0C861FBC" w14:textId="539403F6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iCs/>
          <w:noProof/>
          <w:sz w:val="24"/>
          <w:szCs w:val="24"/>
          <w:lang w:val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Interspecies Sonification: Deleuze, Ruyer, and Bioart,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Aberrant Nuptials: Deleuze and Artistic Research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, eds. Paulo de Assis and Paolo Giudici. Leuven: Leuven Univ</w:t>
      </w:r>
      <w:r w:rsidR="00844E0F" w:rsidRPr="00E57D49">
        <w:rPr>
          <w:rFonts w:ascii="Times New Roman" w:hAnsi="Times New Roman"/>
          <w:noProof/>
          <w:sz w:val="24"/>
          <w:szCs w:val="24"/>
          <w:lang w:val="en-GB"/>
        </w:rPr>
        <w:t>ersity Press, 2019, p. 421-428.</w:t>
      </w:r>
    </w:p>
    <w:p w14:paraId="107C2732" w14:textId="11CA320C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Style w:val="value"/>
          <w:rFonts w:ascii="Times New Roman" w:hAnsi="Times New Roman"/>
          <w:noProof/>
          <w:color w:val="3366FF"/>
          <w:sz w:val="24"/>
          <w:szCs w:val="24"/>
          <w:shd w:val="clear" w:color="auto" w:fill="FFFFFF"/>
          <w:lang w:val="en-GB"/>
        </w:rPr>
      </w:pPr>
      <w:r w:rsidRPr="00E57D49">
        <w:rPr>
          <w:rFonts w:ascii="Times New Roman" w:eastAsia="Times New Roman" w:hAnsi="Times New Roman"/>
          <w:bCs/>
          <w:noProof/>
          <w:sz w:val="24"/>
          <w:szCs w:val="24"/>
          <w:lang w:val="en-GB"/>
        </w:rPr>
        <w:t xml:space="preserve">Žukauskaitė, Audronė, Hybrids, Chimeras, Aberrant Nuptials: New Modes of Cohabitation in Bioart, </w:t>
      </w:r>
      <w:r w:rsidRPr="00E57D49">
        <w:rPr>
          <w:rFonts w:ascii="Times New Roman" w:eastAsia="Times New Roman" w:hAnsi="Times New Roman"/>
          <w:bCs/>
          <w:i/>
          <w:iCs/>
          <w:noProof/>
          <w:sz w:val="24"/>
          <w:szCs w:val="24"/>
          <w:lang w:val="en-GB"/>
        </w:rPr>
        <w:t>Nordic Theatre Studies</w:t>
      </w:r>
      <w:r w:rsidRPr="00E57D49">
        <w:rPr>
          <w:rFonts w:ascii="Times New Roman" w:eastAsia="Times New Roman" w:hAnsi="Times New Roman"/>
          <w:bCs/>
          <w:noProof/>
          <w:sz w:val="24"/>
          <w:szCs w:val="24"/>
          <w:lang w:val="en-GB"/>
        </w:rPr>
        <w:t xml:space="preserve">, </w:t>
      </w:r>
      <w:r w:rsidR="00844E0F" w:rsidRPr="00E57D49">
        <w:rPr>
          <w:rFonts w:ascii="Times New Roman" w:eastAsia="Times New Roman" w:hAnsi="Times New Roman"/>
          <w:bCs/>
          <w:noProof/>
          <w:sz w:val="24"/>
          <w:szCs w:val="24"/>
          <w:lang w:val="en-GB"/>
        </w:rPr>
        <w:t>vol. 31, no. 1, 2019, p. 22–37</w:t>
      </w:r>
      <w:r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.  </w:t>
      </w:r>
      <w:hyperlink r:id="rId6" w:history="1">
        <w:r w:rsidRPr="00E57D49">
          <w:rPr>
            <w:rStyle w:val="Hyperlink"/>
            <w:rFonts w:ascii="Times New Roman" w:hAnsi="Times New Roman"/>
            <w:noProof/>
            <w:color w:val="3366FF"/>
            <w:sz w:val="24"/>
            <w:szCs w:val="24"/>
            <w:lang w:val="en-GB"/>
          </w:rPr>
          <w:t>https://doi.org/10.7146/nts.v31i1.113000</w:t>
        </w:r>
      </w:hyperlink>
    </w:p>
    <w:p w14:paraId="26EC6FE3" w14:textId="21C7E3D8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lastRenderedPageBreak/>
        <w:t xml:space="preserve">Žukauskaitė, </w:t>
      </w:r>
      <w:r w:rsidRPr="00E57D49">
        <w:rPr>
          <w:rFonts w:ascii="Times New Roman" w:eastAsia="Times New Roman" w:hAnsi="Times New Roman"/>
          <w:bCs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The Deleuzian Notion of Becoming-Imperceptible and Postfeminist Strategies, </w:t>
      </w:r>
      <w:r w:rsidRPr="00E57D49">
        <w:rPr>
          <w:rFonts w:ascii="Times New Roman" w:eastAsia="Times New Roman" w:hAnsi="Times New Roman"/>
          <w:i/>
          <w:noProof/>
          <w:sz w:val="24"/>
          <w:szCs w:val="24"/>
          <w:lang w:val="en-GB"/>
        </w:rPr>
        <w:t>Deleuze and the Schizoanalysis of Feminism</w:t>
      </w:r>
      <w:r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t>, eds. Jane Sholtz and Cheri Lynne Carr, London, New York: Bloomsbury Academ</w:t>
      </w:r>
      <w:r w:rsidR="00844E0F"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t>ic, 2019, p. 41–55.</w:t>
      </w:r>
    </w:p>
    <w:p w14:paraId="578D156E" w14:textId="257B2597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Times New Roman" w:hAnsi="Times New Roman"/>
          <w:bCs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Deleuze, Ruyer, and Musical Morphogenesis, </w:t>
      </w:r>
      <w:r w:rsidRPr="00E57D49">
        <w:rPr>
          <w:rFonts w:ascii="Times New Roman" w:eastAsia="Times New Roman" w:hAnsi="Times New Roman"/>
          <w:i/>
          <w:noProof/>
          <w:sz w:val="24"/>
          <w:szCs w:val="24"/>
          <w:lang w:val="en-GB"/>
        </w:rPr>
        <w:t>Of Essence and Context: Between Music and Philosophy</w:t>
      </w:r>
      <w:r w:rsidRPr="00E57D49">
        <w:rPr>
          <w:rFonts w:ascii="Times New Roman" w:eastAsia="Times New Roman" w:hAnsi="Times New Roman"/>
          <w:noProof/>
          <w:sz w:val="24"/>
          <w:szCs w:val="24"/>
          <w:lang w:val="en-GB"/>
        </w:rPr>
        <w:t>, Eds. Rūta Stanevičiūtė, Nick Zangwill, Rima Pavilionienė. Cham, Switzerland: Springer, 2019, p. 97–108</w:t>
      </w:r>
      <w:r w:rsidRPr="00E57D49">
        <w:rPr>
          <w:rFonts w:ascii="Times New Roman" w:hAnsi="Times New Roman"/>
          <w:noProof/>
          <w:sz w:val="24"/>
          <w:szCs w:val="24"/>
          <w:shd w:val="clear" w:color="auto" w:fill="F8F8F8"/>
          <w:lang w:val="en-GB"/>
        </w:rPr>
        <w:t>.</w:t>
      </w:r>
    </w:p>
    <w:p w14:paraId="5A7BFF1E" w14:textId="7467EA02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Imuniteto samprata Jacques’o Derrida ir Roberto Esposito filosofijoje,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Athena: filosofijos studijos, Nr. 13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, sudaryt. D. Petrina, Vilnius: Lietuvos kultūros tyrimų institutas, </w:t>
      </w:r>
      <w:r w:rsidR="00844E0F" w:rsidRPr="00E57D49">
        <w:rPr>
          <w:rFonts w:ascii="Times New Roman" w:hAnsi="Times New Roman"/>
          <w:noProof/>
          <w:sz w:val="24"/>
          <w:szCs w:val="24"/>
          <w:lang w:val="en-GB"/>
        </w:rPr>
        <w:t>2018, p. 81–95.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hyperlink r:id="rId7" w:history="1">
        <w:r w:rsidRPr="00E57D49">
          <w:rPr>
            <w:rStyle w:val="Hyperlink"/>
            <w:rFonts w:ascii="Times New Roman" w:hAnsi="Times New Roman"/>
            <w:noProof/>
            <w:sz w:val="24"/>
            <w:szCs w:val="24"/>
            <w:lang w:val="en-GB"/>
          </w:rPr>
          <w:t>https://www.athena.lt/files/pdf/13/III-1.pdf</w:t>
        </w:r>
      </w:hyperlink>
    </w:p>
    <w:p w14:paraId="61F6F9CA" w14:textId="19F0E5DE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Žukauskaitė, Audronė, Contemporary Feminist Art: Between Identity and Becoming-Imperceptible, </w:t>
      </w:r>
      <w:r w:rsidRPr="00E57D49">
        <w:rPr>
          <w:rFonts w:ascii="Times New Roman" w:eastAsia="BatangChe" w:hAnsi="Times New Roman"/>
          <w:i/>
          <w:noProof/>
          <w:sz w:val="24"/>
          <w:szCs w:val="24"/>
          <w:lang w:val="en-GB"/>
        </w:rPr>
        <w:t xml:space="preserve">Magma: Body and Words in Italian and Lithuanian Woman’s Art from 1965 to the Present,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eds. Benedetta Carpi De Resmini and Laima Kreivyte. Macerata: Quodlibet, 2018, p. 123-143. </w:t>
      </w:r>
    </w:p>
    <w:p w14:paraId="5AD996B1" w14:textId="68552CC5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textAlignment w:val="top"/>
        <w:rPr>
          <w:rFonts w:ascii="Times New Roman" w:hAnsi="Times New Roman"/>
          <w:noProof/>
          <w:color w:val="7030A0"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Žukauskaitė, Audronė,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G. Simondon’o ontogenezės teorija: tarp organizmo ir techninio objekto,</w:t>
      </w:r>
      <w:r w:rsidRPr="00E57D49">
        <w:rPr>
          <w:rFonts w:ascii="Times New Roman" w:hAnsi="Times New Roman"/>
          <w:noProof/>
          <w:color w:val="7030A0"/>
          <w:sz w:val="24"/>
          <w:szCs w:val="24"/>
          <w:lang w:val="en-GB"/>
        </w:rPr>
        <w:t xml:space="preserve"> </w:t>
      </w:r>
      <w:r w:rsidRPr="00E57D49">
        <w:rPr>
          <w:rFonts w:ascii="Times New Roman" w:hAnsi="Times New Roman"/>
          <w:i/>
          <w:iCs/>
          <w:noProof/>
          <w:sz w:val="24"/>
          <w:szCs w:val="24"/>
          <w:lang w:val="en-GB"/>
        </w:rPr>
        <w:t>Problemos: mokslo darbai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, Vilnius: Vilniaus universiteto leidykla</w:t>
      </w:r>
      <w:r w:rsidR="00844E0F"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, T. 94, 2018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, p. 84–98.</w:t>
      </w:r>
      <w:r w:rsidRPr="00E57D49">
        <w:rPr>
          <w:rFonts w:ascii="Times New Roman" w:hAnsi="Times New Roman"/>
          <w:noProof/>
          <w:color w:val="7030A0"/>
          <w:sz w:val="24"/>
          <w:szCs w:val="24"/>
          <w:lang w:val="en-GB"/>
        </w:rPr>
        <w:t xml:space="preserve"> </w:t>
      </w:r>
      <w:hyperlink r:id="rId8" w:history="1">
        <w:r w:rsidRPr="00E57D49">
          <w:rPr>
            <w:rStyle w:val="Hyperlink"/>
            <w:rFonts w:ascii="Times New Roman" w:hAnsi="Times New Roman"/>
            <w:noProof/>
            <w:sz w:val="24"/>
            <w:szCs w:val="24"/>
            <w:lang w:val="en-GB"/>
          </w:rPr>
          <w:t>https://doi.org/10.15388/Problemos.0.0.11992</w:t>
        </w:r>
      </w:hyperlink>
    </w:p>
    <w:p w14:paraId="6876FC1C" w14:textId="1D611688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color w:val="0000FF"/>
          <w:sz w:val="24"/>
          <w:szCs w:val="24"/>
          <w:lang w:val="en-GB" w:eastAsia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Deleuze, Simondon, and Beckett: From Being to Becoming, </w:t>
      </w:r>
      <w:r w:rsidRPr="00E57D49">
        <w:rPr>
          <w:rFonts w:ascii="Times New Roman" w:hAnsi="Times New Roman"/>
          <w:i/>
          <w:noProof/>
          <w:sz w:val="24"/>
          <w:szCs w:val="24"/>
          <w:lang w:val="en-GB" w:eastAsia="en-GB"/>
        </w:rPr>
        <w:t>The Dark Precursor: Deleuze and Artistic Research</w:t>
      </w:r>
      <w:r w:rsidRPr="00E57D49">
        <w:rPr>
          <w:rFonts w:ascii="Times New Roman" w:hAnsi="Times New Roman"/>
          <w:noProof/>
          <w:sz w:val="24"/>
          <w:szCs w:val="24"/>
          <w:lang w:val="en-GB" w:eastAsia="en-GB"/>
        </w:rPr>
        <w:t>, eds. Paulo de Assis and Paolo Giudici. Leuven: Leuven University Press, 2017, pp. 272 – 278</w:t>
      </w:r>
      <w:r w:rsidR="00844E0F" w:rsidRPr="00E57D49">
        <w:rPr>
          <w:rFonts w:ascii="Times New Roman" w:hAnsi="Times New Roman"/>
          <w:noProof/>
          <w:sz w:val="24"/>
          <w:szCs w:val="24"/>
          <w:lang w:val="en-GB" w:eastAsia="en-GB"/>
        </w:rPr>
        <w:t>.</w:t>
      </w:r>
    </w:p>
    <w:p w14:paraId="37B2A905" w14:textId="2D1CE00B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Gyvūniškoji negalia: gyvūno klausimas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Jacques’o Derrida filosofijoje,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Athena: filosofijos studijos, Nr. 11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, sudaryt. A. Žukauskaitė, Vilnius: Lietuvos kultūros tyrimų institutas,</w:t>
      </w:r>
      <w:r w:rsidR="00844E0F"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2016, p. 141–155.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hyperlink r:id="rId9" w:history="1">
        <w:r w:rsidRPr="00E57D49">
          <w:rPr>
            <w:rStyle w:val="Hyperlink"/>
            <w:rFonts w:ascii="Times New Roman" w:hAnsi="Times New Roman"/>
            <w:noProof/>
            <w:sz w:val="24"/>
            <w:szCs w:val="24"/>
            <w:lang w:val="en-GB"/>
          </w:rPr>
          <w:t>https://www.athena.lt/files/pdf/11/II-3.pdf</w:t>
        </w:r>
      </w:hyperlink>
    </w:p>
    <w:p w14:paraId="5C0AFF67" w14:textId="25603E19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textAlignment w:val="top"/>
        <w:rPr>
          <w:rFonts w:ascii="Times New Roman" w:eastAsia="BatangChe" w:hAnsi="Times New Roman"/>
          <w:noProof/>
          <w:color w:val="0070C0"/>
          <w:spacing w:val="-6"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Immunity and Contagion as Two Modes of Biopolitics, </w:t>
      </w:r>
      <w:r w:rsidRPr="00E57D49">
        <w:rPr>
          <w:rFonts w:ascii="Times New Roman" w:eastAsia="BatangChe" w:hAnsi="Times New Roman"/>
          <w:i/>
          <w:iCs/>
          <w:noProof/>
          <w:spacing w:val="-6"/>
          <w:sz w:val="24"/>
          <w:szCs w:val="24"/>
          <w:lang w:val="en-GB"/>
        </w:rPr>
        <w:t>Subjectivity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, 2017, pp. 1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cs/>
          <w:lang w:val="en-GB" w:bidi="mr-IN"/>
        </w:rPr>
        <w:t>–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15</w:t>
      </w:r>
      <w:r w:rsidR="00844E0F" w:rsidRPr="00E57D49">
        <w:rPr>
          <w:rFonts w:ascii="Times New Roman" w:hAnsi="Times New Roman"/>
          <w:noProof/>
          <w:color w:val="333333"/>
          <w:spacing w:val="4"/>
          <w:sz w:val="24"/>
          <w:szCs w:val="24"/>
          <w:lang w:val="en-GB" w:eastAsia="en-GB"/>
        </w:rPr>
        <w:t>.</w:t>
      </w:r>
      <w:r w:rsidRPr="00E57D49">
        <w:rPr>
          <w:rFonts w:ascii="Times New Roman" w:hAnsi="Times New Roman"/>
          <w:noProof/>
          <w:color w:val="333333"/>
          <w:spacing w:val="4"/>
          <w:sz w:val="24"/>
          <w:szCs w:val="24"/>
          <w:lang w:val="en-GB" w:eastAsia="en-GB"/>
        </w:rPr>
        <w:t xml:space="preserve"> </w:t>
      </w:r>
      <w:hyperlink r:id="rId10" w:history="1">
        <w:r w:rsidRPr="00E57D49">
          <w:rPr>
            <w:rStyle w:val="Hyperlink"/>
            <w:rFonts w:ascii="Times New Roman" w:eastAsia="BatangChe" w:hAnsi="Times New Roman"/>
            <w:noProof/>
            <w:color w:val="0070C0"/>
            <w:spacing w:val="-6"/>
            <w:sz w:val="24"/>
            <w:szCs w:val="24"/>
            <w:lang w:val="en-GB"/>
          </w:rPr>
          <w:t>http://link.springer.com/article/10.1057/s41286-017-0028-8</w:t>
        </w:r>
      </w:hyperlink>
    </w:p>
    <w:p w14:paraId="2CF50369" w14:textId="51BBE9C6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From Biopolitics to Biophilosophy, or the Vanishing Subject of Biopolitics,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Resisting Biopolitics: Philosophical, Political and Performative Strategies,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eds. S. E. Wilmer and A. Žukauskaitė, New Y</w:t>
      </w:r>
      <w:r w:rsidR="00E57D49" w:rsidRPr="00E57D49">
        <w:rPr>
          <w:rFonts w:ascii="Times New Roman" w:hAnsi="Times New Roman"/>
          <w:noProof/>
          <w:sz w:val="24"/>
          <w:szCs w:val="24"/>
          <w:lang w:val="en-GB"/>
        </w:rPr>
        <w:t>ork: Routledge, 2016, p. 74–91.</w:t>
      </w:r>
    </w:p>
    <w:p w14:paraId="4E90A9B0" w14:textId="31044299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Nomadic Performativity and the Immanent Ethics of Life,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Nordic Theatre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Studies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, Vol. 27(1), 2015, p. 10–21, </w:t>
      </w:r>
      <w:hyperlink r:id="rId11" w:history="1">
        <w:r w:rsidRPr="00E57D49">
          <w:rPr>
            <w:rStyle w:val="Hyperlink"/>
            <w:rFonts w:ascii="Times New Roman" w:hAnsi="Times New Roman"/>
            <w:noProof/>
            <w:color w:val="0070C0"/>
            <w:sz w:val="24"/>
            <w:szCs w:val="24"/>
            <w:lang w:val="en-GB"/>
          </w:rPr>
          <w:t>https://tidsskrift.dk/nts/article/view/24235</w:t>
        </w:r>
      </w:hyperlink>
    </w:p>
    <w:p w14:paraId="1ECA96E9" w14:textId="23201BC8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 w:eastAsia="ar-SA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Deleuze and Beckett Towards Becoming-Imperceptible, </w:t>
      </w:r>
      <w:r w:rsidRPr="00E57D49">
        <w:rPr>
          <w:rFonts w:ascii="Times New Roman" w:eastAsia="BatangChe" w:hAnsi="Times New Roman"/>
          <w:i/>
          <w:noProof/>
          <w:spacing w:val="-6"/>
          <w:sz w:val="24"/>
          <w:szCs w:val="24"/>
          <w:lang w:val="en-GB"/>
        </w:rPr>
        <w:t>Deleuze and Beckett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, eds. S. E. Wilmer and Audronė Žukauskaitė, Basingstoke: Palgrave Macmillan, 2015, p. 60–77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.</w:t>
      </w:r>
    </w:p>
    <w:p w14:paraId="5D0C378B" w14:textId="3E62741F" w:rsidR="000947F2" w:rsidRPr="00E57D49" w:rsidRDefault="000947F2" w:rsidP="00E57D49">
      <w:pPr>
        <w:shd w:val="clear" w:color="auto" w:fill="FFFFFF"/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eastAsia="Times New Roman" w:hAnsi="Times New Roman"/>
          <w:noProof/>
          <w:color w:val="0000FF"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Kas yra biopolitikos subjektas? Filosofija, humanizmas, gyvūniškumas, </w:t>
      </w:r>
      <w:r w:rsidRPr="00E57D49">
        <w:rPr>
          <w:rFonts w:ascii="Times New Roman" w:hAnsi="Times New Roman"/>
          <w:i/>
          <w:iCs/>
          <w:noProof/>
          <w:sz w:val="24"/>
          <w:szCs w:val="24"/>
          <w:lang w:val="en-GB"/>
        </w:rPr>
        <w:t>Problemos: mokslo darbai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, Vilnius: Vilniaus universiteto leidykla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, T. 86, 2014, p. 7–22</w:t>
      </w:r>
      <w:r w:rsidR="00E57D49"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.</w:t>
      </w:r>
      <w:r w:rsidRPr="00E57D49">
        <w:rPr>
          <w:rFonts w:ascii="Times New Roman" w:hAnsi="Times New Roman"/>
          <w:noProof/>
          <w:color w:val="0000FF"/>
          <w:sz w:val="24"/>
          <w:szCs w:val="24"/>
          <w:lang w:val="en-GB"/>
        </w:rPr>
        <w:t xml:space="preserve"> </w:t>
      </w:r>
      <w:hyperlink r:id="rId12" w:history="1">
        <w:r w:rsidRPr="00E57D49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GB"/>
          </w:rPr>
          <w:t>https://doi.org/10.15388/Problemos.2014.0.3959</w:t>
        </w:r>
      </w:hyperlink>
    </w:p>
    <w:p w14:paraId="38BBB39A" w14:textId="3EE97D1F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eastAsia="Times New Roman" w:hAnsi="Times New Roman"/>
          <w:bCs/>
          <w:noProof/>
          <w:spacing w:val="-6"/>
          <w:sz w:val="24"/>
          <w:szCs w:val="24"/>
          <w:lang w:val="en-GB"/>
        </w:rPr>
      </w:pP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>Intensive Multiplicities in “</w:t>
      </w:r>
      <w:r w:rsidRPr="00E57D49">
        <w:rPr>
          <w:rFonts w:ascii="Times New Roman" w:hAnsi="Times New Roman"/>
          <w:bCs/>
          <w:i/>
          <w:noProof/>
          <w:spacing w:val="-6"/>
          <w:sz w:val="24"/>
          <w:szCs w:val="24"/>
          <w:lang w:val="en-GB"/>
        </w:rPr>
        <w:t>A Thousand Plateaus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”, </w:t>
      </w:r>
      <w:r w:rsidRPr="00E57D49">
        <w:rPr>
          <w:rFonts w:ascii="Times New Roman" w:hAnsi="Times New Roman"/>
          <w:bCs/>
          <w:i/>
          <w:noProof/>
          <w:spacing w:val="-6"/>
          <w:sz w:val="24"/>
          <w:szCs w:val="24"/>
          <w:lang w:val="en-GB"/>
        </w:rPr>
        <w:t>Understanding Deleuze, Understanding Modernism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>, eds. Paul Ardoin, S. E. Gontarski, Laci Mattison, New York, London: Bloomsbury, 2014, p. 75–89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.</w:t>
      </w:r>
    </w:p>
    <w:p w14:paraId="13E5E833" w14:textId="0FB76397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</w:pP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The Schizoanalysis of Gilles Deleuze and Felix Guattari, or the Political between Schizophrenia and Paranoia, </w:t>
      </w:r>
      <w:r w:rsidRPr="00E57D49">
        <w:rPr>
          <w:rFonts w:ascii="Times New Roman" w:hAnsi="Times New Roman"/>
          <w:bCs/>
          <w:i/>
          <w:iCs/>
          <w:noProof/>
          <w:spacing w:val="-6"/>
          <w:sz w:val="24"/>
          <w:szCs w:val="24"/>
          <w:lang w:val="en-GB"/>
        </w:rPr>
        <w:t>Nationalism and the Body Politic: Psychoanalysis and the Rise of Ethnocntrism and Xenophobia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>, ed. Lene Auestad, London: Karnac Books, 2014, p. 109–125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.</w:t>
      </w:r>
    </w:p>
    <w:p w14:paraId="7609AA6A" w14:textId="02C803DF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pacing w:val="-6"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Žukauskaitė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The Post-subjective Body, Or Deleuze and Guattari Meet Romeo Castellucci, </w:t>
      </w:r>
      <w:r w:rsidRPr="00E57D49">
        <w:rPr>
          <w:rFonts w:ascii="Times New Roman" w:hAnsi="Times New Roman"/>
          <w:i/>
          <w:iCs/>
          <w:noProof/>
          <w:spacing w:val="-6"/>
          <w:sz w:val="24"/>
          <w:szCs w:val="24"/>
          <w:lang w:val="en-GB"/>
        </w:rPr>
        <w:t xml:space="preserve">Performance, Identity, and the Neo-Political Subject, </w:t>
      </w:r>
      <w:r w:rsidRPr="00E57D49">
        <w:rPr>
          <w:rFonts w:ascii="Times New Roman" w:hAnsi="Times New Roman"/>
          <w:noProof/>
          <w:spacing w:val="-6"/>
          <w:sz w:val="24"/>
          <w:szCs w:val="24"/>
          <w:lang w:val="en-GB"/>
        </w:rPr>
        <w:t xml:space="preserve"> Eds. Matthew Causey and Fintan Walsh, London, New Yo</w:t>
      </w:r>
      <w:r w:rsidR="00E57D49" w:rsidRPr="00E57D49">
        <w:rPr>
          <w:rFonts w:ascii="Times New Roman" w:hAnsi="Times New Roman"/>
          <w:noProof/>
          <w:spacing w:val="-6"/>
          <w:sz w:val="24"/>
          <w:szCs w:val="24"/>
          <w:lang w:val="en-GB"/>
        </w:rPr>
        <w:t>rk: Routledge, 2013, p. 101–116</w:t>
      </w:r>
      <w:r w:rsidRPr="00E57D49">
        <w:rPr>
          <w:rFonts w:ascii="Times New Roman" w:hAnsi="Times New Roman"/>
          <w:noProof/>
          <w:spacing w:val="-6"/>
          <w:sz w:val="24"/>
          <w:szCs w:val="24"/>
          <w:lang w:val="en-GB"/>
        </w:rPr>
        <w:t>.</w:t>
      </w:r>
    </w:p>
    <w:p w14:paraId="6BDBA60E" w14:textId="4FC9E2BD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bCs/>
          <w:noProof/>
          <w:color w:val="0000FF"/>
          <w:spacing w:val="-6"/>
          <w:sz w:val="24"/>
          <w:szCs w:val="24"/>
          <w:lang w:val="en-GB"/>
        </w:rPr>
      </w:pP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Žukauskaitė,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Politics of Imperceptibility: Philosophy, Post-Feminism, and New Media Arts, </w:t>
      </w:r>
      <w:r w:rsidRPr="00E57D49">
        <w:rPr>
          <w:rFonts w:ascii="Times New Roman" w:hAnsi="Times New Roman"/>
          <w:bCs/>
          <w:i/>
          <w:noProof/>
          <w:spacing w:val="-6"/>
          <w:sz w:val="24"/>
          <w:szCs w:val="24"/>
          <w:lang w:val="en-GB"/>
        </w:rPr>
        <w:t>Baltic Screen Media Review</w:t>
      </w:r>
      <w:r w:rsidR="00E57D49"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>, Vol. 1, 2013, p. 66–79.</w:t>
      </w:r>
      <w:r w:rsidRPr="00E57D49">
        <w:rPr>
          <w:rFonts w:ascii="Times New Roman" w:hAnsi="Times New Roman"/>
          <w:noProof/>
          <w:spacing w:val="-6"/>
          <w:sz w:val="24"/>
          <w:szCs w:val="24"/>
          <w:lang w:val="en-GB"/>
        </w:rPr>
        <w:t xml:space="preserve"> </w:t>
      </w:r>
      <w:r w:rsidRPr="00E57D49">
        <w:rPr>
          <w:rFonts w:ascii="Times New Roman" w:hAnsi="Times New Roman"/>
          <w:noProof/>
          <w:color w:val="0000FF"/>
          <w:sz w:val="24"/>
          <w:szCs w:val="24"/>
          <w:lang w:val="en-GB" w:eastAsia="en-GB"/>
        </w:rPr>
        <w:t>http://publications.tlu.ee/index.php/bsmr/article/view/152</w:t>
      </w:r>
    </w:p>
    <w:p w14:paraId="647E6989" w14:textId="1F1DFE72" w:rsidR="000947F2" w:rsidRPr="00E57D49" w:rsidRDefault="000947F2" w:rsidP="00E57D49">
      <w:pPr>
        <w:shd w:val="clear" w:color="auto" w:fill="FFFFFF"/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eastAsia="Times New Roman" w:hAnsi="Times New Roman"/>
          <w:noProof/>
          <w:color w:val="0000FF"/>
          <w:sz w:val="24"/>
          <w:szCs w:val="24"/>
          <w:lang w:val="en-GB"/>
        </w:rPr>
      </w:pP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 xml:space="preserve">Žukauskaitė, Audronė, Nuo biopolitikos prie biofilosofijos: M. Foucault, G. Agambenas, G. Deleuze’as, </w:t>
      </w:r>
      <w:r w:rsidRPr="00E57D49">
        <w:rPr>
          <w:rFonts w:ascii="Times New Roman" w:hAnsi="Times New Roman"/>
          <w:i/>
          <w:iCs/>
          <w:noProof/>
          <w:sz w:val="24"/>
          <w:szCs w:val="24"/>
          <w:lang w:val="en-GB"/>
        </w:rPr>
        <w:t>Problemos: mokslo darbai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, Vilnius: Vilniaus universiteto leidykla</w:t>
      </w:r>
      <w:r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, T. 84, 2013, p. 84–98</w:t>
      </w:r>
      <w:r w:rsidR="00E57D49" w:rsidRPr="00E57D49">
        <w:rPr>
          <w:rFonts w:ascii="Times New Roman" w:eastAsia="BatangChe" w:hAnsi="Times New Roman"/>
          <w:noProof/>
          <w:spacing w:val="-6"/>
          <w:sz w:val="24"/>
          <w:szCs w:val="24"/>
          <w:lang w:val="en-GB"/>
        </w:rPr>
        <w:t>.</w:t>
      </w:r>
      <w:r w:rsidRPr="00E57D49">
        <w:rPr>
          <w:rFonts w:ascii="Times New Roman" w:hAnsi="Times New Roman"/>
          <w:noProof/>
          <w:color w:val="0000FF"/>
          <w:sz w:val="24"/>
          <w:szCs w:val="24"/>
          <w:lang w:val="en-GB"/>
        </w:rPr>
        <w:t xml:space="preserve"> </w:t>
      </w:r>
      <w:hyperlink r:id="rId13" w:history="1">
        <w:r w:rsidRPr="00E57D49">
          <w:rPr>
            <w:rFonts w:ascii="Times New Roman" w:eastAsia="Times New Roman" w:hAnsi="Times New Roman"/>
            <w:noProof/>
            <w:color w:val="0000FF"/>
            <w:sz w:val="24"/>
            <w:szCs w:val="24"/>
            <w:lang w:val="en-GB"/>
          </w:rPr>
          <w:t>https://doi.org/10.15388/Problemos.2013.0.1776</w:t>
        </w:r>
      </w:hyperlink>
    </w:p>
    <w:p w14:paraId="60A38FC0" w14:textId="77F6EB98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color w:val="0000FF"/>
          <w:sz w:val="24"/>
          <w:szCs w:val="24"/>
          <w:lang w:val="en-GB" w:eastAsia="en-GB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>Žukauskaitė</w:t>
      </w:r>
      <w:r w:rsidRPr="00E57D49">
        <w:rPr>
          <w:rFonts w:ascii="Times New Roman" w:hAnsi="Times New Roman"/>
          <w:bCs/>
          <w:noProof/>
          <w:spacing w:val="-6"/>
          <w:sz w:val="24"/>
          <w:szCs w:val="24"/>
          <w:lang w:val="en-GB"/>
        </w:rPr>
        <w:t xml:space="preserve">, </w:t>
      </w:r>
      <w:r w:rsidRPr="00E57D49">
        <w:rPr>
          <w:rFonts w:ascii="Times New Roman" w:eastAsia="BatangChe" w:hAnsi="Times New Roman"/>
          <w:noProof/>
          <w:sz w:val="24"/>
          <w:szCs w:val="24"/>
          <w:lang w:val="en-GB"/>
        </w:rPr>
        <w:t xml:space="preserve">Audronė, 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Potentiality as a Life: Deleuze, Agamben, Beckett, </w:t>
      </w:r>
      <w:r w:rsidRPr="00E57D49">
        <w:rPr>
          <w:rFonts w:ascii="Times New Roman" w:hAnsi="Times New Roman"/>
          <w:i/>
          <w:noProof/>
          <w:sz w:val="24"/>
          <w:szCs w:val="24"/>
          <w:lang w:val="en-GB"/>
        </w:rPr>
        <w:t>Deleuze Studies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, </w:t>
      </w:r>
      <w:r w:rsidR="00E57D49" w:rsidRPr="00E57D49">
        <w:rPr>
          <w:rFonts w:ascii="Times New Roman" w:hAnsi="Times New Roman"/>
          <w:noProof/>
          <w:sz w:val="24"/>
          <w:szCs w:val="24"/>
          <w:lang w:val="en-GB"/>
        </w:rPr>
        <w:t>Vol. 6, No. 4, 2012, p. 628–637.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E57D49">
        <w:rPr>
          <w:rFonts w:ascii="Times New Roman" w:hAnsi="Times New Roman"/>
          <w:noProof/>
          <w:color w:val="0000FF"/>
          <w:sz w:val="24"/>
          <w:szCs w:val="24"/>
          <w:lang w:val="en-GB" w:eastAsia="en-GB"/>
        </w:rPr>
        <w:t>https://www.euppublishing.com/doi/abs/10.3366/dls.2012.0088</w:t>
      </w:r>
    </w:p>
    <w:p w14:paraId="7DCE9090" w14:textId="269C2684" w:rsidR="000947F2" w:rsidRPr="00E57D49" w:rsidRDefault="000947F2" w:rsidP="00E57D49">
      <w:pPr>
        <w:tabs>
          <w:tab w:val="left" w:pos="9540"/>
        </w:tabs>
        <w:spacing w:before="120" w:after="0" w:line="240" w:lineRule="auto"/>
        <w:ind w:left="360" w:right="96" w:hanging="360"/>
        <w:rPr>
          <w:rFonts w:ascii="Times New Roman" w:hAnsi="Times New Roman"/>
          <w:noProof/>
          <w:sz w:val="24"/>
          <w:szCs w:val="24"/>
          <w:lang w:val="en-GB" w:eastAsia="lt-LT"/>
        </w:rPr>
      </w:pPr>
      <w:r w:rsidRPr="00E57D49">
        <w:rPr>
          <w:rFonts w:ascii="Times New Roman" w:hAnsi="Times New Roman"/>
          <w:noProof/>
          <w:sz w:val="24"/>
          <w:szCs w:val="24"/>
          <w:lang w:val="en-GB"/>
        </w:rPr>
        <w:t xml:space="preserve">Žukauskaitė, Audronė, Ethics between Particularity and Universality, </w:t>
      </w:r>
      <w:r w:rsidRPr="00E57D49">
        <w:rPr>
          <w:rFonts w:ascii="Times New Roman" w:hAnsi="Times New Roman"/>
          <w:i/>
          <w:iCs/>
          <w:noProof/>
          <w:sz w:val="24"/>
          <w:szCs w:val="24"/>
          <w:lang w:val="en-GB"/>
        </w:rPr>
        <w:t>Deleuze and Ethics</w:t>
      </w:r>
      <w:r w:rsidRPr="00E57D49">
        <w:rPr>
          <w:rFonts w:ascii="Times New Roman" w:hAnsi="Times New Roman"/>
          <w:noProof/>
          <w:sz w:val="24"/>
          <w:szCs w:val="24"/>
          <w:lang w:val="en-GB"/>
        </w:rPr>
        <w:t>, Eds. Nathan Jun and Daniel W. Smith, Edinburgh: Edinburgh Univ</w:t>
      </w:r>
      <w:r w:rsidR="00E57D49" w:rsidRPr="00E57D49">
        <w:rPr>
          <w:rFonts w:ascii="Times New Roman" w:hAnsi="Times New Roman"/>
          <w:noProof/>
          <w:sz w:val="24"/>
          <w:szCs w:val="24"/>
          <w:lang w:val="en-GB"/>
        </w:rPr>
        <w:t>ersity Press, 2011, p. 188–206</w:t>
      </w:r>
      <w:r w:rsidRPr="00E57D49">
        <w:rPr>
          <w:rFonts w:ascii="Times New Roman" w:hAnsi="Times New Roman"/>
          <w:noProof/>
          <w:sz w:val="24"/>
          <w:szCs w:val="24"/>
          <w:lang w:val="en-GB" w:eastAsia="lt-LT"/>
        </w:rPr>
        <w:t xml:space="preserve">. </w:t>
      </w:r>
    </w:p>
    <w:p w14:paraId="5749EC78" w14:textId="0D09BC5A" w:rsidR="00DC1BA8" w:rsidRPr="00E57D49" w:rsidRDefault="000947F2" w:rsidP="00E57D49">
      <w:pPr>
        <w:pStyle w:val="BodyText2"/>
        <w:tabs>
          <w:tab w:val="left" w:pos="9540"/>
        </w:tabs>
        <w:spacing w:before="120" w:after="0"/>
        <w:ind w:left="360" w:right="96" w:hanging="360"/>
        <w:jc w:val="left"/>
        <w:rPr>
          <w:noProof/>
          <w:lang w:val="en-GB"/>
        </w:rPr>
      </w:pPr>
      <w:r w:rsidRPr="00E57D49">
        <w:rPr>
          <w:noProof/>
          <w:lang w:val="en-GB"/>
        </w:rPr>
        <w:t>Žukauskaitė</w:t>
      </w:r>
      <w:r w:rsidRPr="00E57D49">
        <w:rPr>
          <w:bCs/>
          <w:noProof/>
          <w:spacing w:val="-6"/>
          <w:lang w:val="en-GB"/>
        </w:rPr>
        <w:t xml:space="preserve">, </w:t>
      </w:r>
      <w:r w:rsidRPr="00E57D49">
        <w:rPr>
          <w:rFonts w:eastAsia="BatangChe"/>
          <w:noProof/>
          <w:lang w:val="en-GB"/>
        </w:rPr>
        <w:t xml:space="preserve">Audronė, </w:t>
      </w:r>
      <w:r w:rsidRPr="00E57D49">
        <w:rPr>
          <w:noProof/>
          <w:lang w:val="en-GB"/>
        </w:rPr>
        <w:t xml:space="preserve">Biopolitics: Antigone’s Claim, </w:t>
      </w:r>
      <w:r w:rsidRPr="00E57D49">
        <w:rPr>
          <w:i/>
          <w:iCs/>
          <w:noProof/>
          <w:lang w:val="en-GB"/>
        </w:rPr>
        <w:t xml:space="preserve">Interrogating Antigone in Postmodern Philosophy and Criticism, </w:t>
      </w:r>
      <w:r w:rsidRPr="00E57D49">
        <w:rPr>
          <w:noProof/>
          <w:lang w:val="en-GB"/>
        </w:rPr>
        <w:t>eds. S. E. Wilmer and Audronė Žukauskaitė, Oxford: Oxford U</w:t>
      </w:r>
      <w:r w:rsidR="00E57D49" w:rsidRPr="00E57D49">
        <w:rPr>
          <w:noProof/>
          <w:lang w:val="en-GB"/>
        </w:rPr>
        <w:t>niversity Press, 2010, p. 67–81</w:t>
      </w:r>
      <w:r w:rsidRPr="00E57D49">
        <w:rPr>
          <w:noProof/>
          <w:lang w:val="en-GB"/>
        </w:rPr>
        <w:t>.</w:t>
      </w:r>
    </w:p>
    <w:sectPr w:rsidR="00DC1BA8" w:rsidRPr="00E57D49" w:rsidSect="00E91E5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F2"/>
    <w:rsid w:val="000947F2"/>
    <w:rsid w:val="000A5866"/>
    <w:rsid w:val="006815C0"/>
    <w:rsid w:val="00844E0F"/>
    <w:rsid w:val="009B0F38"/>
    <w:rsid w:val="00B45857"/>
    <w:rsid w:val="00E57D49"/>
    <w:rsid w:val="00E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907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47F2"/>
    <w:pPr>
      <w:spacing w:after="200" w:line="276" w:lineRule="auto"/>
    </w:pPr>
    <w:rPr>
      <w:rFonts w:ascii="Calibri" w:eastAsia="Calibri" w:hAnsi="Calibri" w:cs="Times New Roman"/>
      <w:sz w:val="22"/>
      <w:szCs w:val="22"/>
      <w:lang w:val="lt-LT"/>
    </w:rPr>
  </w:style>
  <w:style w:type="paragraph" w:styleId="Heading2">
    <w:name w:val="heading 2"/>
    <w:basedOn w:val="Normal"/>
    <w:link w:val="Heading2Char"/>
    <w:uiPriority w:val="9"/>
    <w:qFormat/>
    <w:rsid w:val="00094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7F2"/>
    <w:rPr>
      <w:rFonts w:ascii="Times New Roman" w:eastAsia="Times New Roman" w:hAnsi="Times New Roman" w:cs="Times New Roman"/>
      <w:b/>
      <w:bCs/>
      <w:sz w:val="36"/>
      <w:szCs w:val="36"/>
      <w:lang w:val="lt-LT" w:eastAsia="lt-LT"/>
    </w:rPr>
  </w:style>
  <w:style w:type="character" w:customStyle="1" w:styleId="searchrezleft6">
    <w:name w:val="searchrezleft6"/>
    <w:rsid w:val="000947F2"/>
  </w:style>
  <w:style w:type="paragraph" w:styleId="BodyText2">
    <w:name w:val="Body Text 2"/>
    <w:basedOn w:val="Normal"/>
    <w:link w:val="BodyText2Char"/>
    <w:rsid w:val="000947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0947F2"/>
    <w:rPr>
      <w:rFonts w:ascii="Times New Roman" w:eastAsia="Times New Roman" w:hAnsi="Times New Roman" w:cs="Times New Roman"/>
      <w:lang w:val="lt-LT" w:eastAsia="ar-SA"/>
    </w:rPr>
  </w:style>
  <w:style w:type="character" w:styleId="Hyperlink">
    <w:name w:val="Hyperlink"/>
    <w:uiPriority w:val="99"/>
    <w:unhideWhenUsed/>
    <w:rsid w:val="000947F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947F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0947F2"/>
    <w:rPr>
      <w:rFonts w:ascii="Times New Roman" w:eastAsia="Times New Roman" w:hAnsi="Times New Roman" w:cs="Times New Roman"/>
      <w:lang w:val="lt-LT" w:eastAsia="ar-SA"/>
    </w:rPr>
  </w:style>
  <w:style w:type="character" w:customStyle="1" w:styleId="value">
    <w:name w:val="value"/>
    <w:basedOn w:val="DefaultParagraphFont"/>
    <w:rsid w:val="000947F2"/>
  </w:style>
  <w:style w:type="character" w:customStyle="1" w:styleId="A1">
    <w:name w:val="A1"/>
    <w:uiPriority w:val="99"/>
    <w:rsid w:val="00B45857"/>
    <w:rPr>
      <w:color w:val="000000"/>
      <w:sz w:val="14"/>
      <w:szCs w:val="14"/>
    </w:rPr>
  </w:style>
  <w:style w:type="character" w:customStyle="1" w:styleId="label">
    <w:name w:val="label"/>
    <w:basedOn w:val="DefaultParagraphFont"/>
    <w:rsid w:val="00844E0F"/>
  </w:style>
  <w:style w:type="paragraph" w:styleId="NormalWeb">
    <w:name w:val="Normal (Web)"/>
    <w:basedOn w:val="Normal"/>
    <w:uiPriority w:val="99"/>
    <w:semiHidden/>
    <w:unhideWhenUsed/>
    <w:rsid w:val="00E57D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5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9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idsskrift.dk/nts/article/view/24235" TargetMode="External"/><Relationship Id="rId12" Type="http://schemas.openxmlformats.org/officeDocument/2006/relationships/hyperlink" Target="https://doi.org/10.15388/Problemos.2014.0.3959" TargetMode="External"/><Relationship Id="rId13" Type="http://schemas.openxmlformats.org/officeDocument/2006/relationships/hyperlink" Target="https://doi.org/10.15388/Problemos.2013.0.1776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oi.org/10.15388/Problemos.98.13" TargetMode="External"/><Relationship Id="rId5" Type="http://schemas.openxmlformats.org/officeDocument/2006/relationships/hyperlink" Target="https://doi.org/10.7146/nts.v32i1.120406" TargetMode="External"/><Relationship Id="rId6" Type="http://schemas.openxmlformats.org/officeDocument/2006/relationships/hyperlink" Target="https://doi.org/10.7146/nts.v31i1.113000" TargetMode="External"/><Relationship Id="rId7" Type="http://schemas.openxmlformats.org/officeDocument/2006/relationships/hyperlink" Target="https://www.athena.lt/files/pdf/13/III-1.pdf" TargetMode="External"/><Relationship Id="rId8" Type="http://schemas.openxmlformats.org/officeDocument/2006/relationships/hyperlink" Target="https://doi.org/10.15388/Problemos.0.0.11992" TargetMode="External"/><Relationship Id="rId9" Type="http://schemas.openxmlformats.org/officeDocument/2006/relationships/hyperlink" Target="https://www.athena.lt/files/pdf/11/II-3.pdf" TargetMode="External"/><Relationship Id="rId10" Type="http://schemas.openxmlformats.org/officeDocument/2006/relationships/hyperlink" Target="http://www.springer.com/-/3/AVu70hXaXBkgGLWLLHX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1040</Words>
  <Characters>5835</Characters>
  <Application>Microsoft Macintosh Word</Application>
  <DocSecurity>0</DocSecurity>
  <Lines>82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2020-11-24T11:50:00Z</dcterms:created>
  <dcterms:modified xsi:type="dcterms:W3CDTF">2020-11-25T08:34:00Z</dcterms:modified>
</cp:coreProperties>
</file>